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B6" w:rsidRDefault="00EA3CEC">
      <w:pPr>
        <w:spacing w:line="360" w:lineRule="auto"/>
        <w:jc w:val="center"/>
        <w:rPr>
          <w:rFonts w:ascii="宋体" w:hAnsi="宋体"/>
          <w:b/>
          <w:sz w:val="36"/>
          <w:szCs w:val="36"/>
        </w:rPr>
      </w:pPr>
      <w:r>
        <w:rPr>
          <w:rFonts w:ascii="宋体" w:hAnsi="宋体" w:hint="eastAsia"/>
          <w:b/>
          <w:sz w:val="36"/>
          <w:szCs w:val="36"/>
        </w:rPr>
        <w:t>沈阳机床股份有限公司</w:t>
      </w:r>
    </w:p>
    <w:p w:rsidR="00604EB6" w:rsidRDefault="00EA3CEC">
      <w:pPr>
        <w:spacing w:line="360" w:lineRule="auto"/>
        <w:jc w:val="center"/>
        <w:rPr>
          <w:rFonts w:ascii="宋体" w:hAnsi="宋体"/>
          <w:b/>
          <w:sz w:val="36"/>
          <w:szCs w:val="36"/>
        </w:rPr>
      </w:pPr>
      <w:r>
        <w:rPr>
          <w:rFonts w:ascii="宋体" w:hAnsi="宋体" w:hint="eastAsia"/>
          <w:b/>
          <w:sz w:val="36"/>
          <w:szCs w:val="36"/>
        </w:rPr>
        <w:t>独立董事事前认可意见</w:t>
      </w:r>
    </w:p>
    <w:p w:rsidR="00604EB6" w:rsidRDefault="00604EB6">
      <w:pPr>
        <w:spacing w:line="360" w:lineRule="auto"/>
        <w:ind w:firstLineChars="200" w:firstLine="480"/>
        <w:rPr>
          <w:rFonts w:ascii="楷体_GB2312" w:eastAsia="楷体_GB2312" w:hAnsi="仿宋"/>
          <w:sz w:val="24"/>
          <w:szCs w:val="24"/>
        </w:rPr>
      </w:pPr>
    </w:p>
    <w:p w:rsidR="00604EB6" w:rsidRDefault="00EA3CEC">
      <w:pPr>
        <w:tabs>
          <w:tab w:val="left" w:pos="1080"/>
        </w:tabs>
        <w:spacing w:beforeLines="50" w:before="156" w:line="360" w:lineRule="auto"/>
        <w:ind w:firstLineChars="200" w:firstLine="640"/>
        <w:rPr>
          <w:rFonts w:ascii="仿宋" w:eastAsia="仿宋" w:hAnsi="仿宋"/>
          <w:sz w:val="32"/>
          <w:szCs w:val="32"/>
        </w:rPr>
      </w:pPr>
      <w:r>
        <w:rPr>
          <w:rFonts w:ascii="仿宋" w:eastAsia="仿宋" w:hAnsi="仿宋" w:hint="eastAsia"/>
          <w:sz w:val="32"/>
          <w:szCs w:val="32"/>
        </w:rPr>
        <w:t>经与有关各方论证和协商，沈阳机床股份有限公司（以下简称“公司”）拟</w:t>
      </w:r>
      <w:r>
        <w:rPr>
          <w:rFonts w:ascii="仿宋" w:eastAsia="仿宋" w:hAnsi="仿宋"/>
          <w:bCs/>
          <w:sz w:val="32"/>
          <w:szCs w:val="32"/>
        </w:rPr>
        <w:t>以发行股份的方式向</w:t>
      </w:r>
      <w:r>
        <w:rPr>
          <w:rFonts w:ascii="仿宋" w:eastAsia="仿宋" w:hAnsi="仿宋" w:hint="eastAsia"/>
          <w:sz w:val="32"/>
          <w:szCs w:val="32"/>
        </w:rPr>
        <w:t>通用技术集团沈阳机床有限责任公司（以下简称“通用沈机集团”）、</w:t>
      </w:r>
      <w:r>
        <w:rPr>
          <w:rFonts w:ascii="仿宋" w:eastAsia="仿宋" w:hAnsi="仿宋" w:hint="eastAsia"/>
          <w:bCs/>
          <w:sz w:val="32"/>
          <w:szCs w:val="32"/>
        </w:rPr>
        <w:t>通用技术集团机床有限公司（以下简称“通用机床”）</w:t>
      </w:r>
      <w:r>
        <w:rPr>
          <w:rFonts w:ascii="仿宋" w:eastAsia="仿宋" w:hAnsi="仿宋"/>
          <w:bCs/>
          <w:sz w:val="32"/>
          <w:szCs w:val="32"/>
        </w:rPr>
        <w:t>购买</w:t>
      </w:r>
      <w:proofErr w:type="gramStart"/>
      <w:r>
        <w:rPr>
          <w:rFonts w:ascii="仿宋" w:eastAsia="仿宋" w:hAnsi="仿宋" w:hint="eastAsia"/>
          <w:sz w:val="32"/>
          <w:szCs w:val="32"/>
        </w:rPr>
        <w:t>通用沈机集团</w:t>
      </w:r>
      <w:proofErr w:type="gramEnd"/>
      <w:r>
        <w:rPr>
          <w:rFonts w:ascii="仿宋" w:eastAsia="仿宋" w:hAnsi="仿宋" w:hint="eastAsia"/>
          <w:bCs/>
          <w:sz w:val="32"/>
          <w:szCs w:val="32"/>
        </w:rPr>
        <w:t>持有的沈阳机床中捷友谊厂有限公司100%股权、沈阳中捷航空航天机床有限公司100%股权和通用机床持有的天津市天锻压力机有限公司78.45%股权，同时募集配套资金</w:t>
      </w:r>
      <w:r>
        <w:rPr>
          <w:rFonts w:ascii="仿宋" w:eastAsia="仿宋" w:hAnsi="仿宋" w:hint="eastAsia"/>
          <w:sz w:val="32"/>
          <w:szCs w:val="32"/>
        </w:rPr>
        <w:t>（以下简称“本次重组”）。根据《上市公司重大资产重组管理办法》、《上市公司独立董事管理办法》、《深圳证券交易所股票上市规则》及《沈阳机床股份有限公司章程》等有关规定，我们作为公司的独立董事，已经审阅了公司董事会提供的拟于第十届董事会第六次会议审议的本次重组相关所有议案及相关文件，现发表事前认可意见如下：</w:t>
      </w:r>
    </w:p>
    <w:p w:rsidR="00604EB6" w:rsidRDefault="00EA3CEC">
      <w:pPr>
        <w:numPr>
          <w:ilvl w:val="0"/>
          <w:numId w:val="1"/>
        </w:numPr>
        <w:spacing w:beforeLines="50" w:before="156" w:line="360" w:lineRule="auto"/>
        <w:ind w:left="0" w:firstLineChars="200" w:firstLine="640"/>
        <w:rPr>
          <w:rFonts w:ascii="仿宋" w:eastAsia="仿宋" w:hAnsi="仿宋"/>
          <w:sz w:val="32"/>
          <w:szCs w:val="32"/>
        </w:rPr>
      </w:pPr>
      <w:r>
        <w:rPr>
          <w:rFonts w:ascii="仿宋" w:eastAsia="仿宋" w:hAnsi="仿宋" w:hint="eastAsia"/>
          <w:sz w:val="32"/>
          <w:szCs w:val="32"/>
        </w:rPr>
        <w:t xml:space="preserve">本次重组方案符合《中华人民共和国公司法》、《中华人民共和国证券法》、《上市公司重大资产重组管理办法》及其他有关法律、法规和中国证券监督管理委员会（以下简称“中国证监会”）颁布的规范性文件的规定，方案合理，切实可行。 </w:t>
      </w:r>
    </w:p>
    <w:p w:rsidR="00604EB6" w:rsidRDefault="00EA3CEC">
      <w:pPr>
        <w:spacing w:beforeLines="50" w:before="156" w:afterLines="50" w:after="156" w:line="360" w:lineRule="auto"/>
        <w:ind w:firstLineChars="225" w:firstLine="720"/>
        <w:rPr>
          <w:rFonts w:ascii="仿宋" w:eastAsia="仿宋" w:hAnsi="仿宋"/>
          <w:sz w:val="32"/>
          <w:szCs w:val="32"/>
        </w:rPr>
      </w:pPr>
      <w:r>
        <w:rPr>
          <w:rFonts w:ascii="仿宋" w:eastAsia="仿宋" w:hAnsi="仿宋" w:hint="eastAsia"/>
          <w:sz w:val="32"/>
          <w:szCs w:val="32"/>
        </w:rPr>
        <w:lastRenderedPageBreak/>
        <w:t>按照《上市公司重大资产重组管理办法》、《深圳证券交易所股票上市规则》等相关规定，本次重组构成重大资产重组，构成关联交易。董事会会议在审议与本次重大资产重组有关的议案时，关联董事安丰收、张旭、付月朋需回避表决。</w:t>
      </w:r>
      <w:r>
        <w:rPr>
          <w:rFonts w:ascii="仿宋" w:eastAsia="仿宋" w:hAnsi="仿宋"/>
          <w:sz w:val="32"/>
          <w:szCs w:val="32"/>
        </w:rPr>
        <w:t>本次交易不构成重组上市。</w:t>
      </w:r>
    </w:p>
    <w:p w:rsidR="00604EB6" w:rsidRDefault="00EA3CEC">
      <w:pPr>
        <w:numPr>
          <w:ilvl w:val="0"/>
          <w:numId w:val="1"/>
        </w:numPr>
        <w:spacing w:beforeLines="50" w:before="156" w:line="360" w:lineRule="auto"/>
        <w:ind w:left="0" w:firstLineChars="200" w:firstLine="640"/>
        <w:rPr>
          <w:rFonts w:ascii="仿宋" w:eastAsia="仿宋" w:hAnsi="仿宋"/>
          <w:sz w:val="32"/>
          <w:szCs w:val="32"/>
        </w:rPr>
      </w:pPr>
      <w:r>
        <w:rPr>
          <w:rFonts w:ascii="仿宋" w:eastAsia="仿宋" w:hAnsi="仿宋" w:hint="eastAsia"/>
          <w:sz w:val="32"/>
          <w:szCs w:val="32"/>
        </w:rPr>
        <w:t>本次交易标的资产的交易价格以具有证券、期货相关业务资格的资产评估机构出具并经国务院国资委备案的评估报告的评估结果为参考依据，由交易各方协商确定。</w:t>
      </w:r>
      <w:r>
        <w:rPr>
          <w:rFonts w:ascii="仿宋" w:eastAsia="仿宋" w:hAnsi="仿宋"/>
          <w:sz w:val="32"/>
          <w:szCs w:val="32"/>
        </w:rPr>
        <w:t>公司在本次交易中所选聘的</w:t>
      </w:r>
      <w:r>
        <w:rPr>
          <w:rFonts w:ascii="仿宋" w:eastAsia="仿宋" w:hAnsi="仿宋" w:hint="eastAsia"/>
          <w:sz w:val="32"/>
          <w:szCs w:val="32"/>
        </w:rPr>
        <w:t>评估</w:t>
      </w:r>
      <w:r>
        <w:rPr>
          <w:rFonts w:ascii="仿宋" w:eastAsia="仿宋" w:hAnsi="仿宋"/>
          <w:sz w:val="32"/>
          <w:szCs w:val="32"/>
        </w:rPr>
        <w:t>机构具有独立性，估值假设前提合理</w:t>
      </w:r>
      <w:r>
        <w:rPr>
          <w:rFonts w:ascii="仿宋" w:eastAsia="仿宋" w:hAnsi="仿宋" w:hint="eastAsia"/>
          <w:sz w:val="32"/>
          <w:szCs w:val="32"/>
        </w:rPr>
        <w:t>。</w:t>
      </w:r>
      <w:r>
        <w:rPr>
          <w:rFonts w:ascii="仿宋" w:eastAsia="仿宋" w:hAnsi="仿宋" w:hint="eastAsia"/>
          <w:kern w:val="0"/>
          <w:sz w:val="32"/>
          <w:szCs w:val="32"/>
        </w:rPr>
        <w:t>公司本次重组的定价原则符合国家相关法律、法规及规范性文件的规定。本次重组是公开、公平、合理的，不存在损害公司及其股东、特别是中小股东利益的行为。</w:t>
      </w:r>
    </w:p>
    <w:p w:rsidR="00604EB6" w:rsidRDefault="00EA3CEC">
      <w:pPr>
        <w:numPr>
          <w:ilvl w:val="0"/>
          <w:numId w:val="1"/>
        </w:numPr>
        <w:spacing w:beforeLines="50" w:before="156" w:line="360" w:lineRule="auto"/>
        <w:ind w:left="0" w:firstLineChars="200" w:firstLine="640"/>
        <w:rPr>
          <w:rFonts w:ascii="仿宋" w:eastAsia="仿宋" w:hAnsi="仿宋"/>
          <w:sz w:val="32"/>
          <w:szCs w:val="32"/>
        </w:rPr>
      </w:pPr>
      <w:r>
        <w:rPr>
          <w:rFonts w:ascii="仿宋" w:eastAsia="仿宋" w:hAnsi="仿宋" w:hint="eastAsia"/>
          <w:sz w:val="32"/>
          <w:szCs w:val="32"/>
        </w:rPr>
        <w:t>本次重组完成后，将有利于提高公司资产质量、改善财务状况和增强持续经营能力</w:t>
      </w:r>
      <w:r>
        <w:rPr>
          <w:rFonts w:ascii="仿宋" w:eastAsia="仿宋" w:hAnsi="仿宋"/>
          <w:sz w:val="32"/>
          <w:szCs w:val="32"/>
        </w:rPr>
        <w:t>,有利于公司</w:t>
      </w:r>
      <w:r>
        <w:rPr>
          <w:rFonts w:ascii="仿宋" w:eastAsia="仿宋" w:hAnsi="仿宋" w:hint="eastAsia"/>
          <w:sz w:val="32"/>
          <w:szCs w:val="32"/>
        </w:rPr>
        <w:t>规范</w:t>
      </w:r>
      <w:r>
        <w:rPr>
          <w:rFonts w:ascii="仿宋" w:eastAsia="仿宋" w:hAnsi="仿宋"/>
          <w:sz w:val="32"/>
          <w:szCs w:val="32"/>
        </w:rPr>
        <w:t>关联交易、避免同业竞争、增强独立性</w:t>
      </w:r>
      <w:r>
        <w:rPr>
          <w:rFonts w:ascii="仿宋" w:eastAsia="仿宋" w:hAnsi="仿宋" w:hint="eastAsia"/>
          <w:sz w:val="32"/>
          <w:szCs w:val="32"/>
        </w:rPr>
        <w:t>，符合公司战略发展规划，符合全体股东的现实及长远利益。</w:t>
      </w:r>
    </w:p>
    <w:p w:rsidR="00604EB6" w:rsidRDefault="00EA3CEC">
      <w:pPr>
        <w:numPr>
          <w:ilvl w:val="0"/>
          <w:numId w:val="1"/>
        </w:numPr>
        <w:spacing w:beforeLines="50" w:before="156" w:line="360" w:lineRule="auto"/>
        <w:ind w:left="0" w:firstLineChars="200" w:firstLine="640"/>
        <w:rPr>
          <w:rFonts w:ascii="仿宋" w:eastAsia="仿宋" w:hAnsi="仿宋"/>
          <w:sz w:val="32"/>
          <w:szCs w:val="32"/>
        </w:rPr>
      </w:pPr>
      <w:r>
        <w:rPr>
          <w:rFonts w:ascii="仿宋" w:eastAsia="仿宋" w:hAnsi="仿宋" w:hint="eastAsia"/>
          <w:sz w:val="32"/>
          <w:szCs w:val="32"/>
        </w:rPr>
        <w:t>我们已收到《沈阳机床股份有限公司发行股份购买资产并募集配套资金暨关联交易报告书（草案）》（以下简称“《重组报告书》”）以及公司就本次重组</w:t>
      </w:r>
      <w:proofErr w:type="gramStart"/>
      <w:r>
        <w:rPr>
          <w:rFonts w:ascii="仿宋" w:eastAsia="仿宋" w:hAnsi="仿宋" w:hint="eastAsia"/>
          <w:sz w:val="32"/>
          <w:szCs w:val="32"/>
        </w:rPr>
        <w:t>拟签订</w:t>
      </w:r>
      <w:proofErr w:type="gramEnd"/>
      <w:r>
        <w:rPr>
          <w:rFonts w:ascii="仿宋" w:eastAsia="仿宋" w:hAnsi="仿宋" w:hint="eastAsia"/>
          <w:sz w:val="32"/>
          <w:szCs w:val="32"/>
        </w:rPr>
        <w:t>的交易协议及提交董事会审议的相关议案及其他相关文件，对本次重组所涉及的事项向公司有关部门和人员进行了询问和了</w:t>
      </w:r>
      <w:r>
        <w:rPr>
          <w:rFonts w:ascii="仿宋" w:eastAsia="仿宋" w:hAnsi="仿宋" w:hint="eastAsia"/>
          <w:sz w:val="32"/>
          <w:szCs w:val="32"/>
        </w:rPr>
        <w:lastRenderedPageBreak/>
        <w:t>解，我们认为，本次拟提交公司董事会审议的《重组报告书》及有关议案符合《中华人民共和国公司法》、《中华人民共和国证券法》、《上市公司重大资产重组管理办法》及其他有关法律、法规和中国证监会颁布的规范性文件的规定。</w:t>
      </w:r>
    </w:p>
    <w:p w:rsidR="00604EB6" w:rsidRDefault="00EA3CEC">
      <w:pPr>
        <w:numPr>
          <w:ilvl w:val="0"/>
          <w:numId w:val="1"/>
        </w:numPr>
        <w:spacing w:beforeLines="50" w:before="156" w:line="360" w:lineRule="auto"/>
        <w:ind w:left="0" w:firstLineChars="200" w:firstLine="640"/>
        <w:rPr>
          <w:rFonts w:ascii="仿宋" w:eastAsia="仿宋" w:hAnsi="仿宋"/>
          <w:kern w:val="0"/>
          <w:sz w:val="32"/>
          <w:szCs w:val="32"/>
        </w:rPr>
      </w:pPr>
      <w:r>
        <w:rPr>
          <w:rFonts w:ascii="仿宋" w:eastAsia="仿宋" w:hAnsi="仿宋" w:hint="eastAsia"/>
          <w:kern w:val="0"/>
          <w:sz w:val="32"/>
          <w:szCs w:val="32"/>
        </w:rPr>
        <w:t>同意本次重组相关各项议案，并同意将该等议案提交公司第十届董事会第六次会议审议</w:t>
      </w:r>
      <w:bookmarkStart w:id="0" w:name="_GoBack"/>
      <w:bookmarkEnd w:id="0"/>
      <w:r>
        <w:rPr>
          <w:rFonts w:ascii="仿宋" w:eastAsia="仿宋" w:hAnsi="仿宋" w:hint="eastAsia"/>
          <w:kern w:val="0"/>
          <w:sz w:val="32"/>
          <w:szCs w:val="32"/>
        </w:rPr>
        <w:t>。</w:t>
      </w:r>
    </w:p>
    <w:p w:rsidR="00604EB6" w:rsidRDefault="00EA3CEC">
      <w:pPr>
        <w:jc w:val="center"/>
        <w:rPr>
          <w:rFonts w:ascii="楷体_GB2312" w:eastAsia="楷体_GB2312" w:hAnsi="仿宋" w:cs="宋体"/>
          <w:b/>
          <w:sz w:val="24"/>
          <w:szCs w:val="24"/>
        </w:rPr>
      </w:pPr>
      <w:r>
        <w:rPr>
          <w:rFonts w:ascii="仿宋" w:eastAsia="仿宋" w:hAnsi="仿宋" w:hint="eastAsia"/>
          <w:kern w:val="0"/>
          <w:sz w:val="32"/>
          <w:szCs w:val="32"/>
        </w:rPr>
        <w:t>（以下无正文）</w:t>
      </w:r>
      <w:r>
        <w:rPr>
          <w:rFonts w:ascii="仿宋" w:eastAsia="仿宋" w:hAnsi="仿宋" w:hint="eastAsia"/>
          <w:kern w:val="0"/>
          <w:sz w:val="32"/>
          <w:szCs w:val="32"/>
        </w:rPr>
        <w:br/>
      </w:r>
      <w:r>
        <w:rPr>
          <w:rFonts w:ascii="楷体_GB2312" w:eastAsia="楷体_GB2312" w:hAnsi="仿宋" w:cs="宋体" w:hint="eastAsia"/>
          <w:b/>
          <w:sz w:val="24"/>
          <w:szCs w:val="24"/>
        </w:rPr>
        <w:br w:type="page"/>
      </w:r>
    </w:p>
    <w:p w:rsidR="00604EB6" w:rsidRDefault="003763E0">
      <w:pPr>
        <w:rPr>
          <w:rFonts w:ascii="楷体_GB2312" w:eastAsia="楷体_GB2312" w:hAnsi="仿宋" w:cs="宋体"/>
          <w:sz w:val="24"/>
          <w:szCs w:val="24"/>
        </w:rPr>
      </w:pPr>
      <w:r>
        <w:rPr>
          <w:rFonts w:ascii="楷体_GB2312" w:eastAsia="楷体_GB2312" w:hAnsi="仿宋" w:cs="宋体"/>
          <w:b/>
          <w:noProof/>
          <w:sz w:val="24"/>
          <w:szCs w:val="24"/>
        </w:rPr>
        <w:lastRenderedPageBreak/>
        <w:drawing>
          <wp:anchor distT="0" distB="0" distL="114300" distR="114300" simplePos="0" relativeHeight="251658240" behindDoc="0" locked="0" layoutInCell="1" allowOverlap="1" wp14:anchorId="4E40FA05" wp14:editId="2DC4715A">
            <wp:simplePos x="0" y="0"/>
            <wp:positionH relativeFrom="column">
              <wp:posOffset>-1162050</wp:posOffset>
            </wp:positionH>
            <wp:positionV relativeFrom="paragraph">
              <wp:posOffset>-923925</wp:posOffset>
            </wp:positionV>
            <wp:extent cx="7561472" cy="9286875"/>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独立董事签字页_v1_页面_3.jpg"/>
                    <pic:cNvPicPr/>
                  </pic:nvPicPr>
                  <pic:blipFill rotWithShape="1">
                    <a:blip r:embed="rId8">
                      <a:extLst>
                        <a:ext uri="{28A0092B-C50C-407E-A947-70E740481C1C}">
                          <a14:useLocalDpi xmlns:a14="http://schemas.microsoft.com/office/drawing/2010/main" val="0"/>
                        </a:ext>
                      </a:extLst>
                    </a:blip>
                    <a:srcRect b="13101"/>
                    <a:stretch/>
                  </pic:blipFill>
                  <pic:spPr bwMode="auto">
                    <a:xfrm>
                      <a:off x="0" y="0"/>
                      <a:ext cx="7559675" cy="92846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3CEC">
        <w:rPr>
          <w:rFonts w:ascii="楷体_GB2312" w:eastAsia="楷体_GB2312" w:hAnsi="仿宋" w:cs="宋体" w:hint="eastAsia"/>
          <w:sz w:val="24"/>
          <w:szCs w:val="24"/>
        </w:rPr>
        <w:t>（此页无正文，为《沈阳机床股份有限公司第十届董事会第六次会议独立董事事前认可意见》之签署页）</w:t>
      </w:r>
    </w:p>
    <w:p w:rsidR="00604EB6" w:rsidRDefault="00604EB6">
      <w:pPr>
        <w:spacing w:line="360" w:lineRule="auto"/>
        <w:rPr>
          <w:rFonts w:ascii="楷体_GB2312" w:eastAsia="楷体_GB2312" w:hAnsi="仿宋" w:cs="宋体"/>
          <w:b/>
          <w:sz w:val="24"/>
          <w:szCs w:val="24"/>
        </w:rPr>
      </w:pPr>
    </w:p>
    <w:p w:rsidR="00604EB6" w:rsidRDefault="00604EB6">
      <w:pPr>
        <w:spacing w:line="360" w:lineRule="auto"/>
        <w:rPr>
          <w:rFonts w:ascii="楷体_GB2312" w:eastAsia="楷体_GB2312" w:hAnsi="仿宋" w:cs="宋体"/>
          <w:b/>
          <w:sz w:val="24"/>
          <w:szCs w:val="24"/>
        </w:rPr>
      </w:pPr>
    </w:p>
    <w:p w:rsidR="00604EB6" w:rsidRDefault="00EA3CEC">
      <w:pPr>
        <w:spacing w:line="360" w:lineRule="auto"/>
        <w:ind w:firstLineChars="200" w:firstLine="480"/>
        <w:rPr>
          <w:rFonts w:ascii="楷体_GB2312" w:eastAsia="楷体_GB2312" w:hAnsi="仿宋" w:cs="宋体"/>
          <w:b/>
          <w:sz w:val="24"/>
          <w:szCs w:val="24"/>
        </w:rPr>
      </w:pPr>
      <w:r>
        <w:rPr>
          <w:rFonts w:ascii="楷体_GB2312" w:eastAsia="楷体_GB2312" w:hAnsi="仿宋" w:cs="宋体" w:hint="eastAsia"/>
          <w:b/>
          <w:sz w:val="24"/>
          <w:szCs w:val="24"/>
        </w:rPr>
        <w:t>独立董事签字：</w:t>
      </w:r>
    </w:p>
    <w:p w:rsidR="00604EB6" w:rsidRDefault="00604EB6">
      <w:pPr>
        <w:spacing w:line="360" w:lineRule="auto"/>
        <w:ind w:firstLineChars="200" w:firstLine="480"/>
        <w:rPr>
          <w:rFonts w:ascii="楷体_GB2312" w:eastAsia="楷体_GB2312" w:hAnsi="仿宋" w:cs="宋体"/>
          <w:b/>
          <w:sz w:val="24"/>
          <w:szCs w:val="24"/>
        </w:rPr>
      </w:pPr>
    </w:p>
    <w:p w:rsidR="00604EB6" w:rsidRDefault="00604EB6">
      <w:pPr>
        <w:spacing w:line="360" w:lineRule="auto"/>
        <w:ind w:firstLineChars="200" w:firstLine="480"/>
        <w:rPr>
          <w:rFonts w:ascii="楷体_GB2312" w:eastAsia="楷体_GB2312" w:hAnsi="仿宋" w:cs="宋体"/>
          <w:b/>
          <w:sz w:val="24"/>
          <w:szCs w:val="24"/>
        </w:rPr>
      </w:pPr>
    </w:p>
    <w:p w:rsidR="00604EB6" w:rsidRDefault="00604EB6">
      <w:pPr>
        <w:spacing w:line="360" w:lineRule="auto"/>
        <w:ind w:firstLineChars="200" w:firstLine="480"/>
        <w:rPr>
          <w:rFonts w:ascii="楷体_GB2312" w:eastAsia="楷体_GB2312" w:hAnsi="仿宋" w:cs="宋体"/>
          <w:sz w:val="24"/>
          <w:szCs w:val="24"/>
        </w:rPr>
      </w:pPr>
    </w:p>
    <w:p w:rsidR="00604EB6" w:rsidRDefault="00EA3CEC">
      <w:pPr>
        <w:spacing w:line="360" w:lineRule="auto"/>
        <w:ind w:firstLineChars="200" w:firstLine="480"/>
        <w:rPr>
          <w:rFonts w:ascii="楷体_GB2312" w:eastAsia="楷体_GB2312" w:hAnsi="仿宋" w:cs="宋体"/>
          <w:b/>
          <w:sz w:val="24"/>
          <w:szCs w:val="24"/>
        </w:rPr>
      </w:pPr>
      <w:r>
        <w:rPr>
          <w:rFonts w:ascii="楷体_GB2312" w:eastAsia="楷体_GB2312" w:hAnsi="仿宋" w:cs="宋体" w:hint="eastAsia"/>
          <w:b/>
          <w:sz w:val="24"/>
          <w:szCs w:val="24"/>
          <w:u w:val="single"/>
        </w:rPr>
        <w:t xml:space="preserve">              </w:t>
      </w:r>
      <w:r>
        <w:rPr>
          <w:rFonts w:ascii="楷体_GB2312" w:eastAsia="楷体_GB2312" w:hAnsi="仿宋" w:cs="宋体" w:hint="eastAsia"/>
          <w:b/>
          <w:sz w:val="24"/>
          <w:szCs w:val="24"/>
        </w:rPr>
        <w:t xml:space="preserve">       </w:t>
      </w:r>
      <w:r>
        <w:rPr>
          <w:rFonts w:ascii="楷体_GB2312" w:eastAsia="楷体_GB2312" w:hAnsi="仿宋" w:cs="宋体" w:hint="eastAsia"/>
          <w:b/>
          <w:sz w:val="24"/>
          <w:szCs w:val="24"/>
          <w:u w:val="single"/>
        </w:rPr>
        <w:t xml:space="preserve">              </w:t>
      </w:r>
      <w:r>
        <w:rPr>
          <w:rFonts w:ascii="楷体_GB2312" w:eastAsia="楷体_GB2312" w:hAnsi="仿宋" w:cs="宋体" w:hint="eastAsia"/>
          <w:b/>
          <w:sz w:val="24"/>
          <w:szCs w:val="24"/>
        </w:rPr>
        <w:t xml:space="preserve">        </w:t>
      </w:r>
      <w:r>
        <w:rPr>
          <w:rFonts w:ascii="楷体_GB2312" w:eastAsia="楷体_GB2312" w:hAnsi="仿宋" w:cs="宋体" w:hint="eastAsia"/>
          <w:b/>
          <w:sz w:val="24"/>
          <w:szCs w:val="24"/>
          <w:u w:val="single"/>
        </w:rPr>
        <w:t xml:space="preserve">              </w:t>
      </w:r>
      <w:r>
        <w:rPr>
          <w:rFonts w:ascii="楷体_GB2312" w:eastAsia="楷体_GB2312" w:hAnsi="仿宋" w:cs="宋体" w:hint="eastAsia"/>
          <w:b/>
          <w:sz w:val="24"/>
          <w:szCs w:val="24"/>
        </w:rPr>
        <w:t xml:space="preserve">       </w:t>
      </w:r>
    </w:p>
    <w:p w:rsidR="00604EB6" w:rsidRDefault="00EA3CEC">
      <w:pPr>
        <w:spacing w:line="360" w:lineRule="auto"/>
        <w:ind w:firstLineChars="200" w:firstLine="480"/>
        <w:rPr>
          <w:rFonts w:ascii="楷体_GB2312" w:eastAsia="楷体_GB2312" w:hAnsi="仿宋" w:cs="宋体"/>
          <w:bCs/>
          <w:sz w:val="24"/>
          <w:szCs w:val="24"/>
        </w:rPr>
      </w:pPr>
      <w:r>
        <w:rPr>
          <w:rFonts w:ascii="楷体_GB2312" w:eastAsia="楷体_GB2312" w:hAnsi="仿宋" w:cs="宋体" w:hint="eastAsia"/>
          <w:bCs/>
          <w:sz w:val="24"/>
          <w:szCs w:val="24"/>
        </w:rPr>
        <w:t xml:space="preserve">    哈 刚              </w:t>
      </w:r>
      <w:r>
        <w:rPr>
          <w:rFonts w:ascii="楷体_GB2312" w:eastAsia="楷体_GB2312" w:hAnsi="仿宋" w:cs="宋体"/>
          <w:bCs/>
          <w:sz w:val="24"/>
          <w:szCs w:val="24"/>
        </w:rPr>
        <w:t xml:space="preserve"> </w:t>
      </w:r>
      <w:r>
        <w:rPr>
          <w:rFonts w:ascii="楷体_GB2312" w:eastAsia="楷体_GB2312" w:hAnsi="仿宋" w:cs="宋体" w:hint="eastAsia"/>
          <w:bCs/>
          <w:sz w:val="24"/>
          <w:szCs w:val="24"/>
        </w:rPr>
        <w:t>王英明                 袁知柱</w:t>
      </w:r>
    </w:p>
    <w:p w:rsidR="00604EB6" w:rsidRDefault="00604EB6">
      <w:pPr>
        <w:spacing w:line="360" w:lineRule="auto"/>
        <w:ind w:firstLineChars="200" w:firstLine="480"/>
        <w:jc w:val="right"/>
        <w:rPr>
          <w:rFonts w:ascii="楷体_GB2312" w:eastAsia="楷体_GB2312" w:hAnsi="仿宋" w:cs="宋体"/>
          <w:sz w:val="24"/>
          <w:szCs w:val="24"/>
        </w:rPr>
      </w:pPr>
    </w:p>
    <w:p w:rsidR="00604EB6" w:rsidRDefault="00604EB6">
      <w:pPr>
        <w:spacing w:line="360" w:lineRule="auto"/>
        <w:ind w:firstLineChars="200" w:firstLine="480"/>
        <w:jc w:val="right"/>
        <w:rPr>
          <w:rFonts w:ascii="楷体_GB2312" w:eastAsia="楷体_GB2312" w:hAnsi="仿宋" w:cs="宋体"/>
          <w:sz w:val="24"/>
          <w:szCs w:val="24"/>
        </w:rPr>
      </w:pPr>
    </w:p>
    <w:p w:rsidR="00604EB6" w:rsidRDefault="00604EB6">
      <w:pPr>
        <w:spacing w:line="360" w:lineRule="auto"/>
        <w:ind w:firstLineChars="200" w:firstLine="480"/>
        <w:jc w:val="right"/>
        <w:rPr>
          <w:rFonts w:ascii="楷体_GB2312" w:eastAsia="楷体_GB2312" w:hAnsi="仿宋" w:cs="宋体"/>
          <w:sz w:val="24"/>
          <w:szCs w:val="24"/>
        </w:rPr>
      </w:pPr>
    </w:p>
    <w:p w:rsidR="00604EB6" w:rsidRDefault="00EA3CEC">
      <w:pPr>
        <w:spacing w:before="120" w:afterLines="50" w:after="156" w:line="360" w:lineRule="auto"/>
        <w:ind w:firstLineChars="200" w:firstLine="480"/>
        <w:jc w:val="right"/>
        <w:rPr>
          <w:rFonts w:ascii="楷体_GB2312" w:eastAsia="楷体_GB2312" w:hAnsi="楷体" w:cs="楷体"/>
          <w:sz w:val="24"/>
          <w:szCs w:val="24"/>
        </w:rPr>
      </w:pPr>
      <w:r>
        <w:rPr>
          <w:rFonts w:ascii="楷体_GB2312" w:eastAsia="楷体_GB2312" w:hAnsi="楷体" w:cs="楷体" w:hint="eastAsia"/>
          <w:sz w:val="24"/>
          <w:szCs w:val="24"/>
        </w:rPr>
        <w:t>沈阳机床股份有限公司</w:t>
      </w:r>
    </w:p>
    <w:p w:rsidR="00604EB6" w:rsidRDefault="00EA3CEC">
      <w:pPr>
        <w:spacing w:before="120" w:afterLines="50" w:after="156" w:line="360" w:lineRule="auto"/>
        <w:ind w:firstLineChars="200" w:firstLine="480"/>
        <w:jc w:val="right"/>
        <w:rPr>
          <w:rFonts w:ascii="楷体_GB2312" w:eastAsia="楷体_GB2312" w:hAnsi="楷体" w:cs="楷体"/>
          <w:sz w:val="24"/>
          <w:szCs w:val="24"/>
        </w:rPr>
      </w:pPr>
      <w:r>
        <w:rPr>
          <w:rFonts w:ascii="楷体_GB2312" w:eastAsia="楷体_GB2312" w:hAnsi="楷体" w:cs="楷体" w:hint="eastAsia"/>
          <w:sz w:val="24"/>
          <w:szCs w:val="24"/>
        </w:rPr>
        <w:t>2</w:t>
      </w:r>
      <w:r>
        <w:rPr>
          <w:rFonts w:ascii="楷体_GB2312" w:eastAsia="楷体_GB2312" w:hAnsi="楷体" w:cs="楷体"/>
          <w:sz w:val="24"/>
          <w:szCs w:val="24"/>
        </w:rPr>
        <w:t>024</w:t>
      </w:r>
      <w:r>
        <w:rPr>
          <w:rFonts w:ascii="楷体_GB2312" w:eastAsia="楷体_GB2312" w:hAnsi="楷体" w:cs="楷体" w:hint="eastAsia"/>
          <w:sz w:val="24"/>
          <w:szCs w:val="24"/>
        </w:rPr>
        <w:t>年4月1日</w:t>
      </w:r>
    </w:p>
    <w:p w:rsidR="00604EB6" w:rsidRDefault="00604EB6">
      <w:pPr>
        <w:spacing w:line="360" w:lineRule="auto"/>
        <w:jc w:val="left"/>
        <w:rPr>
          <w:rFonts w:ascii="楷体_GB2312" w:eastAsia="楷体_GB2312" w:hAnsi="仿宋" w:cs="宋体"/>
          <w:szCs w:val="24"/>
        </w:rPr>
      </w:pPr>
    </w:p>
    <w:p w:rsidR="00604EB6" w:rsidRDefault="00604EB6">
      <w:pPr>
        <w:spacing w:beforeLines="50" w:before="156" w:line="360" w:lineRule="auto"/>
        <w:rPr>
          <w:rFonts w:ascii="楷体_GB2312" w:eastAsia="楷体_GB2312" w:hAnsi="仿宋"/>
          <w:kern w:val="0"/>
          <w:sz w:val="24"/>
        </w:rPr>
      </w:pPr>
    </w:p>
    <w:p w:rsidR="00604EB6" w:rsidRDefault="00604EB6">
      <w:pPr>
        <w:rPr>
          <w:rFonts w:ascii="楷体_GB2312" w:eastAsia="楷体_GB2312"/>
        </w:rPr>
      </w:pPr>
    </w:p>
    <w:p w:rsidR="00604EB6" w:rsidRDefault="00604EB6">
      <w:pPr>
        <w:rPr>
          <w:rFonts w:ascii="楷体_GB2312" w:eastAsia="楷体_GB2312"/>
        </w:rPr>
      </w:pPr>
    </w:p>
    <w:sectPr w:rsidR="00604EB6">
      <w:headerReference w:type="default" r:id="rId9"/>
      <w:footerReference w:type="default" r:id="rId1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257">
      <wne:fci wne:fciName="FileExi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C82" w:rsidRDefault="00305C82">
      <w:r>
        <w:separator/>
      </w:r>
    </w:p>
  </w:endnote>
  <w:endnote w:type="continuationSeparator" w:id="0">
    <w:p w:rsidR="00305C82" w:rsidRDefault="0030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3027"/>
    </w:sdtPr>
    <w:sdtEndPr/>
    <w:sdtContent>
      <w:p w:rsidR="00604EB6" w:rsidRDefault="00EA3CEC">
        <w:pPr>
          <w:pStyle w:val="a7"/>
          <w:jc w:val="center"/>
        </w:pPr>
        <w:r>
          <w:fldChar w:fldCharType="begin"/>
        </w:r>
        <w:r>
          <w:instrText>PAGE   \* MERGEFORMAT</w:instrText>
        </w:r>
        <w:r>
          <w:fldChar w:fldCharType="separate"/>
        </w:r>
        <w:r w:rsidR="00F75F07" w:rsidRPr="00F75F07">
          <w:rPr>
            <w:noProof/>
            <w:lang w:val="zh-CN"/>
          </w:rPr>
          <w:t>4</w:t>
        </w:r>
        <w:r>
          <w:fldChar w:fldCharType="end"/>
        </w:r>
      </w:p>
    </w:sdtContent>
  </w:sdt>
  <w:p w:rsidR="00604EB6" w:rsidRDefault="00604EB6">
    <w:pPr>
      <w:pStyle w:val="a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C82" w:rsidRDefault="00305C82">
      <w:r>
        <w:separator/>
      </w:r>
    </w:p>
  </w:footnote>
  <w:footnote w:type="continuationSeparator" w:id="0">
    <w:p w:rsidR="00305C82" w:rsidRDefault="0030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F07" w:rsidRDefault="00F75F07" w:rsidP="00F75F0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7EC5"/>
    <w:multiLevelType w:val="multilevel"/>
    <w:tmpl w:val="076D7EC5"/>
    <w:lvl w:ilvl="0">
      <w:start w:val="1"/>
      <w:numFmt w:val="decimal"/>
      <w:lvlText w:val="%1."/>
      <w:lvlJc w:val="left"/>
      <w:pPr>
        <w:ind w:left="1260" w:hanging="780"/>
      </w:pPr>
      <w:rPr>
        <w:rFonts w:ascii="Times New Roman" w:hAnsi="Times New Roman"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CF5"/>
    <w:rsid w:val="000139AD"/>
    <w:rsid w:val="00047035"/>
    <w:rsid w:val="00054017"/>
    <w:rsid w:val="00055A46"/>
    <w:rsid w:val="000922DC"/>
    <w:rsid w:val="000B38DF"/>
    <w:rsid w:val="000C06C1"/>
    <w:rsid w:val="000C3562"/>
    <w:rsid w:val="000D7F80"/>
    <w:rsid w:val="000E5A05"/>
    <w:rsid w:val="00261D2A"/>
    <w:rsid w:val="00270BF1"/>
    <w:rsid w:val="00273F0E"/>
    <w:rsid w:val="00292002"/>
    <w:rsid w:val="00293C1D"/>
    <w:rsid w:val="002A6037"/>
    <w:rsid w:val="002E7A8C"/>
    <w:rsid w:val="002F252B"/>
    <w:rsid w:val="00305C82"/>
    <w:rsid w:val="0036734D"/>
    <w:rsid w:val="003763E0"/>
    <w:rsid w:val="00500F19"/>
    <w:rsid w:val="005822BF"/>
    <w:rsid w:val="005C061C"/>
    <w:rsid w:val="00604EB6"/>
    <w:rsid w:val="00607F89"/>
    <w:rsid w:val="0061203A"/>
    <w:rsid w:val="006156EE"/>
    <w:rsid w:val="006570A6"/>
    <w:rsid w:val="00681715"/>
    <w:rsid w:val="006971F3"/>
    <w:rsid w:val="007873BC"/>
    <w:rsid w:val="00826E19"/>
    <w:rsid w:val="0082766D"/>
    <w:rsid w:val="00830B87"/>
    <w:rsid w:val="008400BE"/>
    <w:rsid w:val="00856187"/>
    <w:rsid w:val="008D4595"/>
    <w:rsid w:val="008F4B50"/>
    <w:rsid w:val="00923B92"/>
    <w:rsid w:val="00927ECA"/>
    <w:rsid w:val="00966018"/>
    <w:rsid w:val="00984535"/>
    <w:rsid w:val="009B4F15"/>
    <w:rsid w:val="009C519D"/>
    <w:rsid w:val="00A264CD"/>
    <w:rsid w:val="00A26734"/>
    <w:rsid w:val="00A35D73"/>
    <w:rsid w:val="00A60BD4"/>
    <w:rsid w:val="00AA4783"/>
    <w:rsid w:val="00AB0889"/>
    <w:rsid w:val="00AB1A68"/>
    <w:rsid w:val="00AB1B84"/>
    <w:rsid w:val="00B04459"/>
    <w:rsid w:val="00B20121"/>
    <w:rsid w:val="00B35B9C"/>
    <w:rsid w:val="00B444D9"/>
    <w:rsid w:val="00B64952"/>
    <w:rsid w:val="00B82B28"/>
    <w:rsid w:val="00B90A3F"/>
    <w:rsid w:val="00BA7A26"/>
    <w:rsid w:val="00BC2D48"/>
    <w:rsid w:val="00BC5830"/>
    <w:rsid w:val="00BD6C27"/>
    <w:rsid w:val="00C118A4"/>
    <w:rsid w:val="00C36DD9"/>
    <w:rsid w:val="00C65020"/>
    <w:rsid w:val="00C76908"/>
    <w:rsid w:val="00C869FE"/>
    <w:rsid w:val="00CE6468"/>
    <w:rsid w:val="00CF58AD"/>
    <w:rsid w:val="00D01254"/>
    <w:rsid w:val="00D06675"/>
    <w:rsid w:val="00D17213"/>
    <w:rsid w:val="00D4285B"/>
    <w:rsid w:val="00D62341"/>
    <w:rsid w:val="00DC697A"/>
    <w:rsid w:val="00DE6DB9"/>
    <w:rsid w:val="00E33CE2"/>
    <w:rsid w:val="00E47AC0"/>
    <w:rsid w:val="00E84F33"/>
    <w:rsid w:val="00E95CF5"/>
    <w:rsid w:val="00EA3CEC"/>
    <w:rsid w:val="00EE4D60"/>
    <w:rsid w:val="00F560A8"/>
    <w:rsid w:val="00F75F07"/>
    <w:rsid w:val="00F91327"/>
    <w:rsid w:val="00FA0CBA"/>
    <w:rsid w:val="00FC4B81"/>
    <w:rsid w:val="00FD4BBA"/>
    <w:rsid w:val="00FE4BE9"/>
    <w:rsid w:val="00FF5155"/>
    <w:rsid w:val="08316C3C"/>
    <w:rsid w:val="0CA86D23"/>
    <w:rsid w:val="116A632D"/>
    <w:rsid w:val="164D5583"/>
    <w:rsid w:val="1B212927"/>
    <w:rsid w:val="1B97550B"/>
    <w:rsid w:val="24D23D45"/>
    <w:rsid w:val="3A993F62"/>
    <w:rsid w:val="3BA3153C"/>
    <w:rsid w:val="41D50959"/>
    <w:rsid w:val="62B84B3E"/>
    <w:rsid w:val="71591D14"/>
    <w:rsid w:val="74412B3D"/>
    <w:rsid w:val="7E91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DB59"/>
  <w15:docId w15:val="{7CB49400-A880-4213-90D3-203D787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qFormat/>
    <w:rPr>
      <w:sz w:val="21"/>
      <w:szCs w:val="21"/>
    </w:rPr>
  </w:style>
  <w:style w:type="character" w:customStyle="1" w:styleId="a4">
    <w:name w:val="批注文字 字符"/>
    <w:basedOn w:val="a0"/>
    <w:link w:val="a3"/>
    <w:qFormat/>
    <w:rPr>
      <w:rFonts w:ascii="Calibri" w:eastAsia="宋体" w:hAnsi="Calibri" w:cs="Times New Roman"/>
      <w:kern w:val="2"/>
      <w:sz w:val="21"/>
      <w:szCs w:val="22"/>
    </w:r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character" w:customStyle="1" w:styleId="a8">
    <w:name w:val="页脚 字符"/>
    <w:basedOn w:val="a0"/>
    <w:link w:val="a7"/>
    <w:uiPriority w:val="99"/>
    <w:qFormat/>
    <w:rPr>
      <w:rFonts w:ascii="Calibri" w:eastAsia="宋体" w:hAnsi="Calibri" w:cs="Times New Roman"/>
      <w:kern w:val="2"/>
      <w:sz w:val="18"/>
      <w:szCs w:val="18"/>
    </w:rPr>
  </w:style>
  <w:style w:type="paragraph" w:styleId="ac">
    <w:name w:val="List Paragraph"/>
    <w:basedOn w:val="a"/>
    <w:uiPriority w:val="99"/>
    <w:qFormat/>
    <w:pPr>
      <w:ind w:firstLineChars="200" w:firstLine="420"/>
    </w:pPr>
  </w:style>
  <w:style w:type="paragraph" w:customStyle="1" w:styleId="1">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dc:creator>
  <cp:lastModifiedBy>石苗苗</cp:lastModifiedBy>
  <cp:revision>17</cp:revision>
  <dcterms:created xsi:type="dcterms:W3CDTF">2023-10-13T12:23:00Z</dcterms:created>
  <dcterms:modified xsi:type="dcterms:W3CDTF">2024-04-02T08:47:00Z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6CAB0F38A2F6481FAAEF69742C9A6D23</vt:lpwstr>
  </property>
</Properties>
</file>